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192" w:rsidRPr="00136192" w:rsidRDefault="00136192" w:rsidP="00136192">
      <w:pPr>
        <w:spacing w:line="360" w:lineRule="auto"/>
        <w:jc w:val="both"/>
        <w:rPr>
          <w:rFonts w:ascii="Arial" w:hAnsi="Arial"/>
          <w:rtl/>
        </w:rPr>
      </w:pPr>
      <w:bookmarkStart w:id="0" w:name="_GoBack"/>
      <w:bookmarkEnd w:id="0"/>
      <w:r w:rsidRPr="00136192">
        <w:rPr>
          <w:rFonts w:ascii="Arial" w:hAnsi="Arial" w:hint="cs"/>
          <w:rtl/>
        </w:rPr>
        <w:t>ב"ה</w:t>
      </w:r>
    </w:p>
    <w:p w:rsidR="00136192" w:rsidRDefault="00136192" w:rsidP="00136192">
      <w:pPr>
        <w:spacing w:line="360" w:lineRule="auto"/>
        <w:jc w:val="both"/>
        <w:rPr>
          <w:rFonts w:ascii="Arial" w:hAnsi="Arial"/>
          <w:b/>
          <w:bCs/>
          <w:rtl/>
        </w:rPr>
      </w:pPr>
    </w:p>
    <w:p w:rsidR="00136192" w:rsidRDefault="00136192" w:rsidP="000B1195">
      <w:pPr>
        <w:spacing w:line="360" w:lineRule="auto"/>
        <w:jc w:val="both"/>
        <w:rPr>
          <w:rFonts w:ascii="Arial" w:hAnsi="Arial"/>
          <w:b/>
          <w:bCs/>
        </w:rPr>
      </w:pPr>
      <w:r>
        <w:rPr>
          <w:rFonts w:ascii="Arial" w:hAnsi="Arial" w:hint="cs"/>
          <w:b/>
          <w:bCs/>
          <w:rtl/>
        </w:rPr>
        <w:t xml:space="preserve">תקציר לפרסום של הכרעת הדין בתיק 32355-02-18 מדינת ישראל נ' </w:t>
      </w:r>
      <w:r w:rsidR="000B1195">
        <w:rPr>
          <w:rFonts w:ascii="Arial" w:hAnsi="Arial" w:hint="cs"/>
          <w:b/>
          <w:bCs/>
          <w:rtl/>
        </w:rPr>
        <w:t>פלוני</w:t>
      </w:r>
    </w:p>
    <w:p w:rsidR="00136192" w:rsidRDefault="00136192" w:rsidP="00136192">
      <w:pPr>
        <w:spacing w:line="360" w:lineRule="auto"/>
        <w:jc w:val="both"/>
        <w:rPr>
          <w:rFonts w:ascii="Arial" w:hAnsi="Arial"/>
          <w:rtl/>
        </w:rPr>
      </w:pPr>
    </w:p>
    <w:p w:rsidR="00136192" w:rsidRDefault="00136192" w:rsidP="009C412E">
      <w:pPr>
        <w:spacing w:line="360" w:lineRule="auto"/>
        <w:jc w:val="both"/>
        <w:rPr>
          <w:rtl/>
        </w:rPr>
      </w:pPr>
      <w:r>
        <w:rPr>
          <w:rFonts w:ascii="Arial" w:hAnsi="Arial" w:hint="cs"/>
          <w:rtl/>
        </w:rPr>
        <w:t xml:space="preserve">הנאשם, </w:t>
      </w:r>
      <w:r w:rsidR="000B1195">
        <w:rPr>
          <w:rFonts w:ascii="Arial" w:hAnsi="Arial" w:hint="cs"/>
          <w:rtl/>
        </w:rPr>
        <w:t xml:space="preserve">אשר שימש בתפקידים בכירים, בין היתר </w:t>
      </w:r>
      <w:r w:rsidR="009C412E">
        <w:rPr>
          <w:rFonts w:ascii="Arial" w:hAnsi="Arial" w:hint="cs"/>
          <w:rtl/>
        </w:rPr>
        <w:t xml:space="preserve">יועץ </w:t>
      </w:r>
      <w:r w:rsidR="000B1195">
        <w:rPr>
          <w:rFonts w:ascii="Arial" w:hAnsi="Arial" w:hint="cs"/>
          <w:rtl/>
        </w:rPr>
        <w:t xml:space="preserve">במשרד </w:t>
      </w:r>
      <w:r w:rsidR="009C412E">
        <w:rPr>
          <w:rFonts w:ascii="Arial" w:hAnsi="Arial" w:hint="cs"/>
          <w:rtl/>
        </w:rPr>
        <w:t>ראש הממשלה</w:t>
      </w:r>
      <w:r w:rsidR="000B1195">
        <w:rPr>
          <w:rFonts w:ascii="Arial" w:hAnsi="Arial" w:hint="cs"/>
          <w:rtl/>
        </w:rPr>
        <w:t xml:space="preserve"> וכן באגף הפיתוח הכלכלי </w:t>
      </w:r>
      <w:r w:rsidR="000B1195">
        <w:rPr>
          <w:rFonts w:ascii="Arial" w:hAnsi="Arial"/>
          <w:rtl/>
        </w:rPr>
        <w:t>–</w:t>
      </w:r>
      <w:r w:rsidR="000B1195">
        <w:rPr>
          <w:rFonts w:ascii="Arial" w:hAnsi="Arial" w:hint="cs"/>
          <w:rtl/>
        </w:rPr>
        <w:t xml:space="preserve"> חברתי למגזר הבדואי</w:t>
      </w:r>
      <w:r>
        <w:rPr>
          <w:rFonts w:ascii="Arial" w:hAnsi="Arial" w:hint="cs"/>
          <w:rtl/>
        </w:rPr>
        <w:t>,</w:t>
      </w:r>
      <w:r>
        <w:rPr>
          <w:rFonts w:ascii="Arial" w:hAnsi="Arial"/>
          <w:rtl/>
        </w:rPr>
        <w:t xml:space="preserve"> </w:t>
      </w:r>
      <w:r>
        <w:rPr>
          <w:rFonts w:ascii="Arial" w:hAnsi="Arial" w:hint="cs"/>
          <w:rtl/>
        </w:rPr>
        <w:t xml:space="preserve">הועמד לדין בגין </w:t>
      </w:r>
      <w:r>
        <w:rPr>
          <w:rFonts w:ascii="Arial" w:hAnsi="Arial"/>
          <w:rtl/>
        </w:rPr>
        <w:t xml:space="preserve">עבירה של ריבוי נישואין, בניגוד לסעיף 176 </w:t>
      </w:r>
      <w:r>
        <w:rPr>
          <w:rtl/>
        </w:rPr>
        <w:t>לחוק העונשין, תשל"ז – 1977</w:t>
      </w:r>
      <w:r>
        <w:rPr>
          <w:rFonts w:hint="cs"/>
          <w:rtl/>
        </w:rPr>
        <w:t xml:space="preserve"> (להלן: "החוק").</w:t>
      </w:r>
    </w:p>
    <w:p w:rsidR="00136192" w:rsidRDefault="00136192" w:rsidP="00136192">
      <w:pPr>
        <w:spacing w:line="360" w:lineRule="auto"/>
        <w:jc w:val="both"/>
        <w:rPr>
          <w:rFonts w:ascii="Arial" w:hAnsi="Arial"/>
          <w:rtl/>
        </w:rPr>
      </w:pPr>
    </w:p>
    <w:p w:rsidR="00136192" w:rsidRDefault="00136192" w:rsidP="004F7079">
      <w:pPr>
        <w:spacing w:line="360" w:lineRule="auto"/>
        <w:jc w:val="both"/>
        <w:rPr>
          <w:rFonts w:ascii="Arial" w:hAnsi="Arial"/>
          <w:rtl/>
        </w:rPr>
      </w:pPr>
      <w:r>
        <w:rPr>
          <w:rFonts w:ascii="Arial" w:hAnsi="Arial"/>
          <w:rtl/>
        </w:rPr>
        <w:t xml:space="preserve">בהתאם לעובדות כתב האישום, בהיות הנאשם נשוי, </w:t>
      </w:r>
      <w:proofErr w:type="spellStart"/>
      <w:r>
        <w:rPr>
          <w:rFonts w:ascii="Arial" w:hAnsi="Arial" w:hint="cs"/>
          <w:rtl/>
        </w:rPr>
        <w:t>לנ</w:t>
      </w:r>
      <w:proofErr w:type="spellEnd"/>
      <w:r>
        <w:rPr>
          <w:rFonts w:ascii="Arial" w:hAnsi="Arial" w:hint="cs"/>
          <w:rtl/>
        </w:rPr>
        <w:t>'</w:t>
      </w:r>
      <w:r>
        <w:rPr>
          <w:rFonts w:ascii="Arial" w:hAnsi="Arial"/>
          <w:rtl/>
        </w:rPr>
        <w:t xml:space="preserve"> (להלן: "</w:t>
      </w:r>
      <w:proofErr w:type="spellStart"/>
      <w:r>
        <w:rPr>
          <w:rFonts w:ascii="Arial" w:hAnsi="Arial"/>
          <w:rtl/>
        </w:rPr>
        <w:t>האשה</w:t>
      </w:r>
      <w:proofErr w:type="spellEnd"/>
      <w:r>
        <w:rPr>
          <w:rFonts w:ascii="Arial" w:hAnsi="Arial"/>
          <w:rtl/>
        </w:rPr>
        <w:t xml:space="preserve"> הראשונה"), במועד שאינו ידוע במדויק למאשימה, אולם עובר ליום 08.03.17, פנה הנאשם לאשה נוספת, </w:t>
      </w:r>
      <w:r>
        <w:rPr>
          <w:rFonts w:ascii="Arial" w:hAnsi="Arial" w:hint="cs"/>
          <w:rtl/>
        </w:rPr>
        <w:t>ח' (להלן: "</w:t>
      </w:r>
      <w:proofErr w:type="spellStart"/>
      <w:r>
        <w:rPr>
          <w:rFonts w:ascii="Arial" w:hAnsi="Arial" w:hint="cs"/>
          <w:rtl/>
        </w:rPr>
        <w:t>האשה</w:t>
      </w:r>
      <w:proofErr w:type="spellEnd"/>
      <w:r>
        <w:rPr>
          <w:rFonts w:ascii="Arial" w:hAnsi="Arial" w:hint="cs"/>
          <w:rtl/>
        </w:rPr>
        <w:t xml:space="preserve"> </w:t>
      </w:r>
      <w:proofErr w:type="spellStart"/>
      <w:r>
        <w:rPr>
          <w:rFonts w:ascii="Arial" w:hAnsi="Arial" w:hint="cs"/>
          <w:rtl/>
        </w:rPr>
        <w:t>השניה</w:t>
      </w:r>
      <w:proofErr w:type="spellEnd"/>
      <w:r>
        <w:rPr>
          <w:rFonts w:ascii="Arial" w:hAnsi="Arial" w:hint="cs"/>
          <w:rtl/>
        </w:rPr>
        <w:t xml:space="preserve">") </w:t>
      </w:r>
      <w:r>
        <w:rPr>
          <w:rFonts w:ascii="Arial" w:hAnsi="Arial"/>
          <w:rtl/>
        </w:rPr>
        <w:t xml:space="preserve">והציע לה </w:t>
      </w:r>
      <w:proofErr w:type="spellStart"/>
      <w:r>
        <w:rPr>
          <w:rFonts w:ascii="Arial" w:hAnsi="Arial"/>
          <w:rtl/>
        </w:rPr>
        <w:t>להנשא</w:t>
      </w:r>
      <w:proofErr w:type="spellEnd"/>
      <w:r>
        <w:rPr>
          <w:rFonts w:ascii="Arial" w:hAnsi="Arial"/>
          <w:rtl/>
        </w:rPr>
        <w:t xml:space="preserve"> לו. </w:t>
      </w:r>
      <w:proofErr w:type="spellStart"/>
      <w:r>
        <w:rPr>
          <w:rFonts w:ascii="Arial" w:hAnsi="Arial"/>
          <w:rtl/>
        </w:rPr>
        <w:t>האשה</w:t>
      </w:r>
      <w:proofErr w:type="spellEnd"/>
      <w:r>
        <w:rPr>
          <w:rFonts w:ascii="Arial" w:hAnsi="Arial"/>
          <w:rtl/>
        </w:rPr>
        <w:t xml:space="preserve"> </w:t>
      </w:r>
      <w:proofErr w:type="spellStart"/>
      <w:r>
        <w:rPr>
          <w:rFonts w:ascii="Arial" w:hAnsi="Arial"/>
          <w:rtl/>
        </w:rPr>
        <w:t>השניה</w:t>
      </w:r>
      <w:proofErr w:type="spellEnd"/>
      <w:r>
        <w:rPr>
          <w:rFonts w:ascii="Arial" w:hAnsi="Arial"/>
          <w:rtl/>
        </w:rPr>
        <w:t xml:space="preserve"> הסכימה להצעתו.</w:t>
      </w:r>
    </w:p>
    <w:p w:rsidR="00136192" w:rsidRDefault="00136192" w:rsidP="00136192">
      <w:pPr>
        <w:spacing w:line="360" w:lineRule="auto"/>
        <w:jc w:val="both"/>
        <w:rPr>
          <w:rFonts w:ascii="Arial" w:hAnsi="Arial"/>
          <w:rtl/>
        </w:rPr>
      </w:pPr>
    </w:p>
    <w:p w:rsidR="00136192" w:rsidRDefault="00136192" w:rsidP="00136192">
      <w:pPr>
        <w:spacing w:line="360" w:lineRule="auto"/>
        <w:jc w:val="both"/>
        <w:rPr>
          <w:rFonts w:ascii="Arial" w:hAnsi="Arial"/>
          <w:rtl/>
        </w:rPr>
      </w:pPr>
      <w:r>
        <w:rPr>
          <w:rFonts w:ascii="Arial" w:hAnsi="Arial"/>
          <w:rtl/>
        </w:rPr>
        <w:t xml:space="preserve">ביום 08.03.17 ערך הנאשם עם </w:t>
      </w:r>
      <w:proofErr w:type="spellStart"/>
      <w:r>
        <w:rPr>
          <w:rFonts w:ascii="Arial" w:hAnsi="Arial"/>
          <w:rtl/>
        </w:rPr>
        <w:t>האשה</w:t>
      </w:r>
      <w:proofErr w:type="spellEnd"/>
      <w:r>
        <w:rPr>
          <w:rFonts w:ascii="Arial" w:hAnsi="Arial"/>
          <w:rtl/>
        </w:rPr>
        <w:t xml:space="preserve"> </w:t>
      </w:r>
      <w:proofErr w:type="spellStart"/>
      <w:r>
        <w:rPr>
          <w:rFonts w:ascii="Arial" w:hAnsi="Arial"/>
          <w:rtl/>
        </w:rPr>
        <w:t>השניה</w:t>
      </w:r>
      <w:proofErr w:type="spellEnd"/>
      <w:r>
        <w:rPr>
          <w:rFonts w:ascii="Arial" w:hAnsi="Arial"/>
          <w:rtl/>
        </w:rPr>
        <w:t xml:space="preserve"> חוזה נישואין בהתאם לדין </w:t>
      </w:r>
      <w:proofErr w:type="spellStart"/>
      <w:r>
        <w:rPr>
          <w:rFonts w:ascii="Arial" w:hAnsi="Arial"/>
          <w:rtl/>
        </w:rPr>
        <w:t>השרעי</w:t>
      </w:r>
      <w:proofErr w:type="spellEnd"/>
      <w:r>
        <w:rPr>
          <w:rFonts w:ascii="Arial" w:hAnsi="Arial"/>
          <w:rtl/>
        </w:rPr>
        <w:t xml:space="preserve"> וזאת על אף שהיה נשוי באותה עת לאשה הראשונה.</w:t>
      </w:r>
    </w:p>
    <w:p w:rsidR="00136192" w:rsidRDefault="00136192" w:rsidP="00136192">
      <w:pPr>
        <w:spacing w:line="360" w:lineRule="auto"/>
        <w:jc w:val="both"/>
        <w:rPr>
          <w:rFonts w:ascii="Arial" w:hAnsi="Arial"/>
          <w:rtl/>
        </w:rPr>
      </w:pPr>
    </w:p>
    <w:p w:rsidR="00136192" w:rsidRDefault="00136192" w:rsidP="00136192">
      <w:pPr>
        <w:spacing w:line="360" w:lineRule="auto"/>
        <w:jc w:val="both"/>
        <w:rPr>
          <w:rFonts w:ascii="Arial" w:hAnsi="Arial"/>
          <w:rtl/>
        </w:rPr>
      </w:pPr>
      <w:r>
        <w:rPr>
          <w:rFonts w:ascii="Arial" w:hAnsi="Arial"/>
          <w:rtl/>
        </w:rPr>
        <w:t xml:space="preserve">הנאשם טען, כי אינו מכחיש את ההיכרות שבינו לבין </w:t>
      </w:r>
      <w:proofErr w:type="spellStart"/>
      <w:r>
        <w:rPr>
          <w:rFonts w:ascii="Arial" w:hAnsi="Arial"/>
          <w:rtl/>
        </w:rPr>
        <w:t>האשה</w:t>
      </w:r>
      <w:proofErr w:type="spellEnd"/>
      <w:r>
        <w:rPr>
          <w:rFonts w:ascii="Arial" w:hAnsi="Arial"/>
          <w:rtl/>
        </w:rPr>
        <w:t xml:space="preserve"> </w:t>
      </w:r>
      <w:proofErr w:type="spellStart"/>
      <w:r>
        <w:rPr>
          <w:rFonts w:ascii="Arial" w:hAnsi="Arial"/>
          <w:rtl/>
        </w:rPr>
        <w:t>השניה</w:t>
      </w:r>
      <w:proofErr w:type="spellEnd"/>
      <w:r>
        <w:rPr>
          <w:rFonts w:ascii="Arial" w:hAnsi="Arial"/>
          <w:rtl/>
        </w:rPr>
        <w:t xml:space="preserve">, אך מכחיש, שקיים </w:t>
      </w:r>
      <w:proofErr w:type="spellStart"/>
      <w:r>
        <w:rPr>
          <w:rFonts w:ascii="Arial" w:hAnsi="Arial"/>
          <w:rtl/>
        </w:rPr>
        <w:t>איתה</w:t>
      </w:r>
      <w:proofErr w:type="spellEnd"/>
      <w:r>
        <w:rPr>
          <w:rFonts w:ascii="Arial" w:hAnsi="Arial"/>
          <w:rtl/>
        </w:rPr>
        <w:t xml:space="preserve"> קשרי אישות או משק בית משותף.</w:t>
      </w:r>
    </w:p>
    <w:p w:rsidR="00136192" w:rsidRDefault="00136192" w:rsidP="00136192">
      <w:pPr>
        <w:spacing w:line="360" w:lineRule="auto"/>
        <w:jc w:val="both"/>
        <w:rPr>
          <w:rFonts w:ascii="Arial" w:hAnsi="Arial"/>
          <w:rtl/>
        </w:rPr>
      </w:pPr>
    </w:p>
    <w:p w:rsidR="00136192" w:rsidRDefault="00136192" w:rsidP="00136192">
      <w:pPr>
        <w:spacing w:line="360" w:lineRule="auto"/>
        <w:jc w:val="both"/>
        <w:rPr>
          <w:rFonts w:ascii="Arial" w:hAnsi="Arial"/>
          <w:rtl/>
        </w:rPr>
      </w:pPr>
      <w:r>
        <w:rPr>
          <w:rFonts w:ascii="Arial" w:hAnsi="Arial"/>
          <w:rtl/>
        </w:rPr>
        <w:t xml:space="preserve">לטענת </w:t>
      </w:r>
      <w:r>
        <w:rPr>
          <w:rFonts w:ascii="Arial" w:hAnsi="Arial" w:hint="cs"/>
          <w:rtl/>
        </w:rPr>
        <w:t>הנאשם</w:t>
      </w:r>
      <w:r>
        <w:rPr>
          <w:rFonts w:ascii="Arial" w:hAnsi="Arial"/>
          <w:rtl/>
        </w:rPr>
        <w:t xml:space="preserve">, המדובר היה בתקופה בה היה פרוד </w:t>
      </w:r>
      <w:proofErr w:type="spellStart"/>
      <w:r>
        <w:rPr>
          <w:rFonts w:ascii="Arial" w:hAnsi="Arial"/>
          <w:rtl/>
        </w:rPr>
        <w:t>מהאשה</w:t>
      </w:r>
      <w:proofErr w:type="spellEnd"/>
      <w:r>
        <w:rPr>
          <w:rFonts w:ascii="Arial" w:hAnsi="Arial"/>
          <w:rtl/>
        </w:rPr>
        <w:t xml:space="preserve"> הראשונה, הוא הכיר את </w:t>
      </w:r>
      <w:proofErr w:type="spellStart"/>
      <w:r>
        <w:rPr>
          <w:rFonts w:ascii="Arial" w:hAnsi="Arial"/>
          <w:rtl/>
        </w:rPr>
        <w:t>האשה</w:t>
      </w:r>
      <w:proofErr w:type="spellEnd"/>
      <w:r>
        <w:rPr>
          <w:rFonts w:ascii="Arial" w:hAnsi="Arial"/>
          <w:rtl/>
        </w:rPr>
        <w:t xml:space="preserve"> </w:t>
      </w:r>
      <w:proofErr w:type="spellStart"/>
      <w:r>
        <w:rPr>
          <w:rFonts w:ascii="Arial" w:hAnsi="Arial"/>
          <w:rtl/>
        </w:rPr>
        <w:t>השניה</w:t>
      </w:r>
      <w:proofErr w:type="spellEnd"/>
      <w:r>
        <w:rPr>
          <w:rFonts w:ascii="Arial" w:hAnsi="Arial"/>
          <w:rtl/>
        </w:rPr>
        <w:t xml:space="preserve"> ועל פי המנהג, על מנת למנוע סכנת חיים לאשה </w:t>
      </w:r>
      <w:proofErr w:type="spellStart"/>
      <w:r>
        <w:rPr>
          <w:rFonts w:ascii="Arial" w:hAnsi="Arial"/>
          <w:rtl/>
        </w:rPr>
        <w:t>השניה</w:t>
      </w:r>
      <w:proofErr w:type="spellEnd"/>
      <w:r>
        <w:rPr>
          <w:rFonts w:ascii="Arial" w:hAnsi="Arial"/>
          <w:rtl/>
        </w:rPr>
        <w:t xml:space="preserve"> – היה עליו לבקש "גושפנקה" למערכת היחסים ביניהם</w:t>
      </w:r>
      <w:r>
        <w:rPr>
          <w:rFonts w:ascii="Arial" w:hAnsi="Arial" w:hint="cs"/>
          <w:rtl/>
        </w:rPr>
        <w:t xml:space="preserve"> ולכן ערך מעין חוזה נישואין, שאינו משקף את המציאות, וזאת כדי שיהיה בידו "לצאת </w:t>
      </w:r>
      <w:proofErr w:type="spellStart"/>
      <w:r>
        <w:rPr>
          <w:rFonts w:ascii="Arial" w:hAnsi="Arial" w:hint="cs"/>
          <w:rtl/>
        </w:rPr>
        <w:t>איתה</w:t>
      </w:r>
      <w:proofErr w:type="spellEnd"/>
      <w:r>
        <w:rPr>
          <w:rFonts w:ascii="Arial" w:hAnsi="Arial" w:hint="cs"/>
          <w:rtl/>
        </w:rPr>
        <w:t>" ו"להכיר אותה"</w:t>
      </w:r>
      <w:r>
        <w:rPr>
          <w:rFonts w:ascii="Arial" w:hAnsi="Arial"/>
          <w:rtl/>
        </w:rPr>
        <w:t>.</w:t>
      </w:r>
    </w:p>
    <w:p w:rsidR="00136192" w:rsidRDefault="00136192" w:rsidP="00136192">
      <w:pPr>
        <w:spacing w:line="360" w:lineRule="auto"/>
        <w:jc w:val="both"/>
        <w:rPr>
          <w:rFonts w:ascii="Arial" w:hAnsi="Arial"/>
          <w:rtl/>
        </w:rPr>
      </w:pPr>
    </w:p>
    <w:p w:rsidR="00136192" w:rsidRDefault="00136192" w:rsidP="00136192">
      <w:pPr>
        <w:spacing w:line="360" w:lineRule="auto"/>
        <w:jc w:val="both"/>
        <w:rPr>
          <w:rFonts w:ascii="Arial" w:hAnsi="Arial"/>
          <w:rtl/>
        </w:rPr>
      </w:pPr>
      <w:r>
        <w:rPr>
          <w:rFonts w:ascii="Arial" w:hAnsi="Arial" w:hint="cs"/>
          <w:rtl/>
        </w:rPr>
        <w:t>עוד טען הנאשם, כי מבחינתו הדין האישי המוסלמי גובר על חוקי המדינה.</w:t>
      </w:r>
    </w:p>
    <w:p w:rsidR="00136192" w:rsidRDefault="00136192" w:rsidP="00136192">
      <w:pPr>
        <w:spacing w:line="360" w:lineRule="auto"/>
        <w:jc w:val="both"/>
        <w:rPr>
          <w:rFonts w:ascii="Arial" w:hAnsi="Arial"/>
          <w:rtl/>
        </w:rPr>
      </w:pPr>
    </w:p>
    <w:p w:rsidR="00136192" w:rsidRDefault="00136192" w:rsidP="004F7079">
      <w:pPr>
        <w:spacing w:line="360" w:lineRule="auto"/>
        <w:jc w:val="both"/>
        <w:rPr>
          <w:rFonts w:ascii="Arial" w:hAnsi="Arial"/>
          <w:rtl/>
        </w:rPr>
      </w:pPr>
      <w:r>
        <w:rPr>
          <w:rFonts w:ascii="Arial" w:hAnsi="Arial" w:hint="cs"/>
          <w:rtl/>
        </w:rPr>
        <w:t xml:space="preserve">אשר לטענתו, כי היה "פרוד" מאשתו הראשונה, לאחר שמיעת הראיות הוברר, כי מתגוררת בסמוך אליו ומכל מקום, </w:t>
      </w:r>
      <w:r w:rsidR="004F7079">
        <w:rPr>
          <w:rFonts w:ascii="Arial" w:hAnsi="Arial" w:hint="cs"/>
          <w:rtl/>
        </w:rPr>
        <w:t xml:space="preserve">קיימת בדין חזקת נישואין, </w:t>
      </w:r>
      <w:r>
        <w:rPr>
          <w:rFonts w:ascii="Arial" w:hAnsi="Arial" w:hint="cs"/>
          <w:rtl/>
        </w:rPr>
        <w:t>לא הוצגה</w:t>
      </w:r>
      <w:r>
        <w:rPr>
          <w:rFonts w:ascii="Arial" w:hAnsi="Arial"/>
          <w:rtl/>
        </w:rPr>
        <w:t xml:space="preserve"> כל עדות על שינוי מצב</w:t>
      </w:r>
      <w:r>
        <w:rPr>
          <w:rFonts w:ascii="Arial" w:hAnsi="Arial" w:hint="cs"/>
          <w:rtl/>
        </w:rPr>
        <w:t>ו</w:t>
      </w:r>
      <w:r>
        <w:rPr>
          <w:rFonts w:ascii="Arial" w:hAnsi="Arial"/>
          <w:rtl/>
        </w:rPr>
        <w:t xml:space="preserve"> </w:t>
      </w:r>
      <w:r>
        <w:rPr>
          <w:rFonts w:ascii="Arial" w:hAnsi="Arial" w:hint="cs"/>
          <w:rtl/>
        </w:rPr>
        <w:t>ה</w:t>
      </w:r>
      <w:r>
        <w:rPr>
          <w:rFonts w:ascii="Arial" w:hAnsi="Arial"/>
          <w:rtl/>
        </w:rPr>
        <w:t>אישי</w:t>
      </w:r>
      <w:r>
        <w:rPr>
          <w:rFonts w:ascii="Arial" w:hAnsi="Arial" w:hint="cs"/>
          <w:rtl/>
        </w:rPr>
        <w:t>, כאשר על מנת להינשא פעם נוספת נדרש שינוי המצב האישי באופן רשמי.</w:t>
      </w:r>
    </w:p>
    <w:p w:rsidR="00136192" w:rsidRDefault="00136192" w:rsidP="00136192">
      <w:pPr>
        <w:spacing w:line="360" w:lineRule="auto"/>
        <w:jc w:val="both"/>
        <w:rPr>
          <w:rFonts w:ascii="Arial" w:hAnsi="Arial"/>
          <w:rtl/>
        </w:rPr>
      </w:pPr>
    </w:p>
    <w:p w:rsidR="00136192" w:rsidRDefault="00136192" w:rsidP="004F7079">
      <w:pPr>
        <w:spacing w:line="360" w:lineRule="auto"/>
        <w:jc w:val="both"/>
        <w:rPr>
          <w:rFonts w:ascii="David" w:hAnsi="David"/>
          <w:rtl/>
        </w:rPr>
      </w:pPr>
      <w:r>
        <w:rPr>
          <w:rFonts w:ascii="Arial" w:hAnsi="Arial" w:hint="cs"/>
          <w:rtl/>
        </w:rPr>
        <w:t xml:space="preserve">אשר לטענתו הנוספת, כי הנישואין היו למראית עין בלבד, </w:t>
      </w:r>
      <w:r>
        <w:rPr>
          <w:rFonts w:ascii="David" w:hAnsi="David" w:hint="cs"/>
          <w:rtl/>
        </w:rPr>
        <w:t xml:space="preserve">קבע בית המשפט, כי אין תימוכין כלשהם לטענת הנאשם, הסותרת מסמכים רשמיים, וכי מכל מקום, עצם עריכת טקס הנישואין, מבססת את יסודות העבירה, וזאת אפילו אם המדובר בנישואין בטלים. עוד נקבע, כי </w:t>
      </w:r>
      <w:r>
        <w:rPr>
          <w:rtl/>
        </w:rPr>
        <w:t xml:space="preserve">דרישה מהתביעה הכללית, להוכיח את טיב הנישואין שנערכו או את שאלת מימושם – היא בבחינת נטל שאינו סביר. מימוש הנישואין – כלומר קיומם של חיי אישות – מתקיים בתוך ד' אמות של חיי המשפחה וממילא לא ניתן יהיה לאמת או לשלול טענות מסוג זה. </w:t>
      </w:r>
    </w:p>
    <w:p w:rsidR="00136192" w:rsidRDefault="00136192" w:rsidP="00136192">
      <w:pPr>
        <w:spacing w:line="360" w:lineRule="auto"/>
        <w:jc w:val="both"/>
        <w:rPr>
          <w:rFonts w:ascii="David" w:hAnsi="David"/>
          <w:rtl/>
        </w:rPr>
      </w:pPr>
    </w:p>
    <w:p w:rsidR="00136192" w:rsidRDefault="00136192" w:rsidP="000B1195">
      <w:pPr>
        <w:spacing w:line="360" w:lineRule="auto"/>
        <w:jc w:val="both"/>
      </w:pPr>
      <w:r>
        <w:rPr>
          <w:rFonts w:ascii="David" w:hAnsi="David" w:hint="cs"/>
          <w:rtl/>
        </w:rPr>
        <w:t xml:space="preserve">משעצם עריכת טקס הנישואין לא הוכחש וההגנה לא הציגה ראיות, שיש בהן כדי לסתור את המסמכים הרשמיים </w:t>
      </w:r>
      <w:r>
        <w:rPr>
          <w:rFonts w:ascii="David" w:hAnsi="David"/>
          <w:rtl/>
        </w:rPr>
        <w:t>–</w:t>
      </w:r>
      <w:r>
        <w:rPr>
          <w:rFonts w:ascii="David" w:hAnsi="David" w:hint="cs"/>
          <w:rtl/>
        </w:rPr>
        <w:t xml:space="preserve"> הורשע הנאשם בעובדות ובעבירה שבכתב האישום.</w:t>
      </w:r>
    </w:p>
    <w:sectPr w:rsidR="00136192" w:rsidSect="001D41D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A4367"/>
    <w:multiLevelType w:val="hybridMultilevel"/>
    <w:tmpl w:val="7FCEA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192"/>
    <w:rsid w:val="000A7358"/>
    <w:rsid w:val="000B1195"/>
    <w:rsid w:val="00136192"/>
    <w:rsid w:val="001D41DE"/>
    <w:rsid w:val="001F1557"/>
    <w:rsid w:val="00426A39"/>
    <w:rsid w:val="004F7079"/>
    <w:rsid w:val="009C412E"/>
    <w:rsid w:val="00E449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847405-B350-4E65-8BEA-AA96DFA2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192"/>
    <w:pPr>
      <w:bidi/>
      <w:spacing w:after="0" w:line="240" w:lineRule="auto"/>
    </w:pPr>
    <w:rPr>
      <w:rFonts w:ascii="Times New Roman" w:eastAsia="Times New Roman" w:hAnsi="Times New Roman"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6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4091">
      <w:bodyDiv w:val="1"/>
      <w:marLeft w:val="0"/>
      <w:marRight w:val="0"/>
      <w:marTop w:val="0"/>
      <w:marBottom w:val="0"/>
      <w:divBdr>
        <w:top w:val="none" w:sz="0" w:space="0" w:color="auto"/>
        <w:left w:val="none" w:sz="0" w:space="0" w:color="auto"/>
        <w:bottom w:val="none" w:sz="0" w:space="0" w:color="auto"/>
        <w:right w:val="none" w:sz="0" w:space="0" w:color="auto"/>
      </w:divBdr>
    </w:div>
    <w:div w:id="100447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1580</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רון סולקין</dc:creator>
  <cp:keywords/>
  <dc:description/>
  <cp:lastModifiedBy>אסתר טטרואשילי</cp:lastModifiedBy>
  <cp:revision>2</cp:revision>
  <dcterms:created xsi:type="dcterms:W3CDTF">2024-09-10T06:58:00Z</dcterms:created>
  <dcterms:modified xsi:type="dcterms:W3CDTF">2024-09-10T06:58:00Z</dcterms:modified>
</cp:coreProperties>
</file>